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50"/>
        <w:gridCol w:w="7229"/>
      </w:tblGrid>
      <w:tr w:rsidR="00AD7030" w:rsidTr="002B69F7">
        <w:tc>
          <w:tcPr>
            <w:tcW w:w="9747" w:type="dxa"/>
            <w:gridSpan w:val="3"/>
          </w:tcPr>
          <w:p w:rsidR="002B69F7" w:rsidRDefault="002B69F7" w:rsidP="002B69F7">
            <w:pPr>
              <w:spacing w:line="320" w:lineRule="exact"/>
              <w:rPr>
                <w:rFonts w:hint="eastAsia"/>
              </w:rPr>
            </w:pPr>
            <w:r>
              <w:rPr>
                <w:rFonts w:hint="eastAsia"/>
              </w:rPr>
              <w:t>發布日期：</w:t>
            </w:r>
            <w:r>
              <w:rPr>
                <w:rFonts w:hint="eastAsia"/>
              </w:rPr>
              <w:t>2005-11-16</w:t>
            </w:r>
            <w:bookmarkStart w:id="0" w:name="_GoBack"/>
            <w:bookmarkEnd w:id="0"/>
          </w:p>
          <w:p w:rsidR="002B69F7" w:rsidRDefault="002B69F7" w:rsidP="002B69F7">
            <w:pPr>
              <w:spacing w:line="320" w:lineRule="exact"/>
              <w:rPr>
                <w:rFonts w:hint="eastAsia"/>
              </w:rPr>
            </w:pPr>
            <w:r>
              <w:rPr>
                <w:rFonts w:hint="eastAsia"/>
              </w:rPr>
              <w:t>內政部</w:t>
            </w:r>
            <w:r>
              <w:rPr>
                <w:rFonts w:hint="eastAsia"/>
              </w:rPr>
              <w:t>85.10.2</w:t>
            </w:r>
            <w:r>
              <w:rPr>
                <w:rFonts w:hint="eastAsia"/>
              </w:rPr>
              <w:t>台內營字第八五八五五四五號令發布</w:t>
            </w:r>
          </w:p>
          <w:p w:rsidR="00AD7030" w:rsidRDefault="002B69F7" w:rsidP="002B69F7">
            <w:pPr>
              <w:spacing w:after="240" w:line="320" w:lineRule="exact"/>
            </w:pPr>
            <w:r>
              <w:rPr>
                <w:rFonts w:hint="eastAsia"/>
              </w:rPr>
              <w:t>內政部</w:t>
            </w:r>
            <w:r>
              <w:rPr>
                <w:rFonts w:hint="eastAsia"/>
              </w:rPr>
              <w:t>94.11.16</w:t>
            </w:r>
            <w:r>
              <w:rPr>
                <w:rFonts w:hint="eastAsia"/>
              </w:rPr>
              <w:t>台內營字第</w:t>
            </w:r>
            <w:r>
              <w:rPr>
                <w:rFonts w:hint="eastAsia"/>
              </w:rPr>
              <w:t>0940011177</w:t>
            </w:r>
            <w:r>
              <w:rPr>
                <w:rFonts w:hint="eastAsia"/>
              </w:rPr>
              <w:t>號令修正</w:t>
            </w:r>
            <w:r>
              <w:rPr>
                <w:rFonts w:hint="eastAsia"/>
              </w:rPr>
              <w:t xml:space="preserve">   </w:t>
            </w:r>
          </w:p>
        </w:tc>
      </w:tr>
      <w:tr w:rsidR="00AD7030" w:rsidRPr="002B69F7" w:rsidTr="002B69F7">
        <w:tc>
          <w:tcPr>
            <w:tcW w:w="1668" w:type="dxa"/>
          </w:tcPr>
          <w:p w:rsidR="00AD7030" w:rsidRPr="002B69F7" w:rsidRDefault="00AD7030" w:rsidP="002B69F7">
            <w:pPr>
              <w:spacing w:after="120" w:line="340" w:lineRule="exact"/>
              <w:ind w:right="176"/>
              <w:jc w:val="right"/>
            </w:pPr>
            <w:r w:rsidRPr="002B69F7">
              <w:t>第一條</w:t>
            </w:r>
          </w:p>
        </w:tc>
        <w:tc>
          <w:tcPr>
            <w:tcW w:w="8079" w:type="dxa"/>
            <w:gridSpan w:val="2"/>
          </w:tcPr>
          <w:p w:rsidR="00AD7030" w:rsidRPr="002B69F7" w:rsidRDefault="002B69F7" w:rsidP="002B69F7">
            <w:pPr>
              <w:spacing w:after="120" w:line="340" w:lineRule="exact"/>
            </w:pPr>
            <w:r w:rsidRPr="002B69F7">
              <w:rPr>
                <w:rFonts w:hint="eastAsia"/>
              </w:rPr>
              <w:t>本細則依公寓大廈管理條例（以下簡稱本條例）第六十二條規定訂定之。</w:t>
            </w:r>
          </w:p>
        </w:tc>
      </w:tr>
      <w:tr w:rsidR="00AD7030" w:rsidRPr="002B69F7" w:rsidTr="002B69F7">
        <w:tc>
          <w:tcPr>
            <w:tcW w:w="1668" w:type="dxa"/>
          </w:tcPr>
          <w:p w:rsidR="00AD7030" w:rsidRPr="002B69F7" w:rsidRDefault="00AD7030" w:rsidP="002B69F7">
            <w:pPr>
              <w:spacing w:after="120" w:line="340" w:lineRule="exact"/>
              <w:ind w:right="176"/>
              <w:jc w:val="right"/>
            </w:pPr>
            <w:r w:rsidRPr="002B69F7">
              <w:t>第二條</w:t>
            </w:r>
          </w:p>
        </w:tc>
        <w:tc>
          <w:tcPr>
            <w:tcW w:w="8079" w:type="dxa"/>
            <w:gridSpan w:val="2"/>
          </w:tcPr>
          <w:p w:rsidR="00AD7030" w:rsidRDefault="002B69F7" w:rsidP="002B69F7">
            <w:pPr>
              <w:spacing w:after="120" w:line="340" w:lineRule="exact"/>
              <w:rPr>
                <w:rFonts w:ascii="華康仿宋體W6" w:hint="eastAsia"/>
              </w:rPr>
            </w:pPr>
            <w:r w:rsidRPr="002B69F7">
              <w:rPr>
                <w:rFonts w:ascii="華康仿宋體W6" w:hint="eastAsia"/>
              </w:rPr>
              <w:t>本條例所稱區分所有權比例，指區分所有權人之專有部分依本條例第五十六條第三項測繪之面積與公寓大廈專有部分全部面積總和之比。建築物已完成登記者，依登記機關之記載為準。</w:t>
            </w:r>
          </w:p>
          <w:p w:rsidR="002B69F7" w:rsidRPr="002B69F7" w:rsidRDefault="002B69F7" w:rsidP="002B69F7">
            <w:pPr>
              <w:spacing w:after="120" w:line="340" w:lineRule="exact"/>
              <w:rPr>
                <w:rFonts w:ascii="華康仿宋體W6"/>
              </w:rPr>
            </w:pPr>
            <w:r>
              <w:t>同一區分所有權人有數專有部分者，前項區分所有權比例，應予累計。但於計算區分所有權人會議之比例時，應受本條例第二十七條第二項規定之限制。</w:t>
            </w:r>
          </w:p>
        </w:tc>
      </w:tr>
      <w:tr w:rsidR="00AD7030" w:rsidRPr="002B69F7" w:rsidTr="002B69F7">
        <w:tc>
          <w:tcPr>
            <w:tcW w:w="1668" w:type="dxa"/>
          </w:tcPr>
          <w:p w:rsidR="00AD7030" w:rsidRPr="002B69F7" w:rsidRDefault="00AD7030" w:rsidP="002B69F7">
            <w:pPr>
              <w:spacing w:after="120" w:line="340" w:lineRule="exact"/>
              <w:ind w:right="176"/>
              <w:jc w:val="right"/>
            </w:pPr>
            <w:r w:rsidRPr="002B69F7">
              <w:t>第三條</w:t>
            </w:r>
          </w:p>
        </w:tc>
        <w:tc>
          <w:tcPr>
            <w:tcW w:w="8079" w:type="dxa"/>
            <w:gridSpan w:val="2"/>
          </w:tcPr>
          <w:p w:rsidR="00AD7030" w:rsidRPr="002B69F7" w:rsidRDefault="002B69F7" w:rsidP="002B69F7">
            <w:pPr>
              <w:spacing w:after="120" w:line="340" w:lineRule="exact"/>
            </w:pPr>
            <w:r w:rsidRPr="002B69F7">
              <w:rPr>
                <w:rFonts w:hint="eastAsia"/>
              </w:rPr>
              <w:t>本條例所定區分所有權人之人數，其計算方式如下：</w:t>
            </w:r>
          </w:p>
        </w:tc>
      </w:tr>
      <w:tr w:rsidR="002B69F7" w:rsidRPr="002B69F7" w:rsidTr="002B69F7">
        <w:tc>
          <w:tcPr>
            <w:tcW w:w="1668" w:type="dxa"/>
          </w:tcPr>
          <w:p w:rsidR="002B69F7" w:rsidRPr="002B69F7" w:rsidRDefault="002B69F7" w:rsidP="002B69F7">
            <w:pPr>
              <w:spacing w:after="120" w:line="340" w:lineRule="exact"/>
              <w:ind w:right="176"/>
              <w:jc w:val="right"/>
            </w:pPr>
          </w:p>
        </w:tc>
        <w:tc>
          <w:tcPr>
            <w:tcW w:w="850" w:type="dxa"/>
          </w:tcPr>
          <w:p w:rsidR="002B69F7" w:rsidRPr="002B69F7" w:rsidRDefault="002B69F7" w:rsidP="00620B6E">
            <w:pPr>
              <w:pStyle w:val="Web"/>
              <w:spacing w:before="0" w:beforeAutospacing="0" w:after="120" w:afterAutospacing="0" w:line="320" w:lineRule="exact"/>
              <w:jc w:val="right"/>
              <w:rPr>
                <w:rFonts w:ascii="華康仿宋體W6" w:eastAsia="華康仿宋體W6" w:hint="eastAsia"/>
              </w:rPr>
            </w:pPr>
            <w:r w:rsidRPr="002B69F7">
              <w:rPr>
                <w:rFonts w:ascii="華康仿宋體W6" w:eastAsia="華康仿宋體W6" w:hint="eastAsia"/>
              </w:rPr>
              <w:t>一、</w:t>
            </w:r>
          </w:p>
        </w:tc>
        <w:tc>
          <w:tcPr>
            <w:tcW w:w="7229" w:type="dxa"/>
          </w:tcPr>
          <w:p w:rsidR="002B69F7" w:rsidRPr="002B69F7" w:rsidRDefault="002B69F7" w:rsidP="00620B6E">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分所有權已登記者，按其登記人數計算。但數人共有一專有部分者，以一人計。</w:t>
            </w:r>
          </w:p>
        </w:tc>
      </w:tr>
      <w:tr w:rsidR="002B69F7" w:rsidRPr="002B69F7" w:rsidTr="002B69F7">
        <w:tc>
          <w:tcPr>
            <w:tcW w:w="1668" w:type="dxa"/>
          </w:tcPr>
          <w:p w:rsidR="002B69F7" w:rsidRPr="002B69F7" w:rsidRDefault="002B69F7" w:rsidP="002B69F7">
            <w:pPr>
              <w:spacing w:after="120" w:line="340" w:lineRule="exact"/>
              <w:ind w:right="176"/>
              <w:jc w:val="right"/>
            </w:pPr>
          </w:p>
        </w:tc>
        <w:tc>
          <w:tcPr>
            <w:tcW w:w="850" w:type="dxa"/>
          </w:tcPr>
          <w:p w:rsidR="002B69F7" w:rsidRPr="002B69F7" w:rsidRDefault="002B69F7" w:rsidP="00620B6E">
            <w:pPr>
              <w:pStyle w:val="Web"/>
              <w:spacing w:before="0" w:beforeAutospacing="0" w:after="120" w:afterAutospacing="0" w:line="320" w:lineRule="exact"/>
              <w:jc w:val="right"/>
              <w:rPr>
                <w:rFonts w:ascii="華康仿宋體W6" w:eastAsia="華康仿宋體W6" w:hint="eastAsia"/>
              </w:rPr>
            </w:pPr>
            <w:r w:rsidRPr="002B69F7">
              <w:rPr>
                <w:rFonts w:ascii="華康仿宋體W6" w:eastAsia="華康仿宋體W6" w:hint="eastAsia"/>
              </w:rPr>
              <w:t>二、</w:t>
            </w:r>
          </w:p>
        </w:tc>
        <w:tc>
          <w:tcPr>
            <w:tcW w:w="7229" w:type="dxa"/>
          </w:tcPr>
          <w:p w:rsidR="002B69F7" w:rsidRPr="002B69F7" w:rsidRDefault="002B69F7" w:rsidP="00620B6E">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區分所有權未登記者，依本條例第五十六條第一項圖說之標示，每一專有部分以一人計。</w:t>
            </w:r>
          </w:p>
        </w:tc>
      </w:tr>
      <w:tr w:rsidR="003077CB" w:rsidRPr="002B69F7" w:rsidTr="002B6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3077CB" w:rsidRPr="002B69F7" w:rsidRDefault="003077CB" w:rsidP="002B69F7">
            <w:pPr>
              <w:spacing w:after="120" w:line="320" w:lineRule="exact"/>
              <w:ind w:right="176"/>
              <w:jc w:val="right"/>
            </w:pPr>
            <w:r w:rsidRPr="002B69F7">
              <w:t>第</w:t>
            </w:r>
            <w:r w:rsidRPr="002B69F7">
              <w:rPr>
                <w:rFonts w:hint="eastAsia"/>
              </w:rPr>
              <w:t>四</w:t>
            </w:r>
            <w:r w:rsidRPr="002B69F7">
              <w:t>條</w:t>
            </w:r>
          </w:p>
        </w:tc>
        <w:tc>
          <w:tcPr>
            <w:tcW w:w="8079" w:type="dxa"/>
            <w:gridSpan w:val="2"/>
            <w:tcBorders>
              <w:top w:val="nil"/>
              <w:left w:val="nil"/>
              <w:bottom w:val="nil"/>
              <w:right w:val="nil"/>
            </w:tcBorders>
          </w:tcPr>
          <w:p w:rsidR="003077CB" w:rsidRPr="002B69F7" w:rsidRDefault="002B69F7" w:rsidP="002B69F7">
            <w:pPr>
              <w:spacing w:after="120" w:line="320" w:lineRule="exact"/>
            </w:pPr>
            <w:r w:rsidRPr="002B69F7">
              <w:rPr>
                <w:rFonts w:hint="eastAsia"/>
              </w:rPr>
              <w:t>本條例第七條第一款所稱公寓大廈本身所占之地面，指建築物外牆中心線或其代替柱中心線以內之最大水平投影範圍。</w:t>
            </w:r>
          </w:p>
        </w:tc>
      </w:tr>
      <w:tr w:rsidR="003077CB" w:rsidRPr="002B69F7" w:rsidTr="002B6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3077CB" w:rsidRPr="002B69F7" w:rsidRDefault="003077CB" w:rsidP="002B69F7">
            <w:pPr>
              <w:spacing w:after="120" w:line="320" w:lineRule="exact"/>
              <w:ind w:right="176"/>
              <w:jc w:val="right"/>
            </w:pPr>
            <w:r w:rsidRPr="002B69F7">
              <w:t>第</w:t>
            </w:r>
            <w:r w:rsidRPr="002B69F7">
              <w:rPr>
                <w:rFonts w:hint="eastAsia"/>
              </w:rPr>
              <w:t>五</w:t>
            </w:r>
            <w:r w:rsidRPr="002B69F7">
              <w:t>條</w:t>
            </w:r>
          </w:p>
        </w:tc>
        <w:tc>
          <w:tcPr>
            <w:tcW w:w="8079" w:type="dxa"/>
            <w:gridSpan w:val="2"/>
            <w:tcBorders>
              <w:top w:val="nil"/>
              <w:left w:val="nil"/>
              <w:bottom w:val="nil"/>
              <w:right w:val="nil"/>
            </w:tcBorders>
          </w:tcPr>
          <w:p w:rsidR="003077CB" w:rsidRPr="002B69F7" w:rsidRDefault="002B69F7" w:rsidP="002B69F7">
            <w:pPr>
              <w:spacing w:after="120" w:line="320" w:lineRule="exact"/>
            </w:pPr>
            <w:r w:rsidRPr="002B69F7">
              <w:rPr>
                <w:rFonts w:hint="eastAsia"/>
              </w:rPr>
              <w:t>本條例第十八條第一項第一款所定按工程造價一定比例或金額提列公共基金，依下列標準計算之：</w:t>
            </w:r>
          </w:p>
        </w:tc>
      </w:tr>
      <w:tr w:rsidR="002B69F7" w:rsidRPr="002B69F7" w:rsidTr="00620B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一、</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新臺幣一千萬元以下者為千分之二十。</w:t>
            </w:r>
          </w:p>
        </w:tc>
      </w:tr>
      <w:tr w:rsidR="002B69F7" w:rsidRPr="002B69F7" w:rsidTr="00620B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二、</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逾新臺幣一千萬元至新臺幣一億元者，超過新臺幣一千萬元部分為千分之十五。</w:t>
            </w:r>
          </w:p>
        </w:tc>
      </w:tr>
      <w:tr w:rsidR="002B69F7" w:rsidRPr="002B69F7" w:rsidTr="00620B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三、</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逾新臺幣一億元至新臺幣十億元者，超過新臺幣一億元部分為千分之五。</w:t>
            </w:r>
          </w:p>
        </w:tc>
      </w:tr>
      <w:tr w:rsidR="002B69F7" w:rsidRPr="002B69F7" w:rsidTr="00620B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四、</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逾新臺幣十億元者，超過新臺幣十億元部分為千分之三。</w:t>
            </w:r>
          </w:p>
        </w:tc>
      </w:tr>
      <w:tr w:rsidR="002B69F7" w:rsidRPr="002B69F7" w:rsidTr="001A31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079" w:type="dxa"/>
            <w:gridSpan w:val="2"/>
            <w:tcBorders>
              <w:top w:val="nil"/>
              <w:left w:val="nil"/>
              <w:bottom w:val="nil"/>
              <w:right w:val="nil"/>
            </w:tcBorders>
          </w:tcPr>
          <w:p w:rsidR="002B69F7" w:rsidRDefault="002B69F7" w:rsidP="00620B6E">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前項工程造價，指經直轄市、縣（市）主管建築機關核發建造執照載明之工程造價。</w:t>
            </w:r>
          </w:p>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政府興建住宅之公共基金，其他法規有特別規定者，依其規定。</w:t>
            </w:r>
          </w:p>
        </w:tc>
      </w:tr>
      <w:tr w:rsidR="003077CB" w:rsidRPr="002B69F7" w:rsidTr="002B6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tcPr>
          <w:p w:rsidR="003077CB" w:rsidRPr="002B69F7" w:rsidRDefault="003077CB" w:rsidP="002B69F7">
            <w:pPr>
              <w:spacing w:after="120" w:line="320" w:lineRule="exact"/>
              <w:ind w:right="176"/>
              <w:jc w:val="right"/>
            </w:pPr>
            <w:r w:rsidRPr="002B69F7">
              <w:t>第</w:t>
            </w:r>
            <w:r w:rsidRPr="002B69F7">
              <w:rPr>
                <w:rFonts w:hint="eastAsia"/>
              </w:rPr>
              <w:t>六</w:t>
            </w:r>
            <w:r w:rsidRPr="002B69F7">
              <w:t>條</w:t>
            </w:r>
          </w:p>
        </w:tc>
        <w:tc>
          <w:tcPr>
            <w:tcW w:w="8079" w:type="dxa"/>
            <w:gridSpan w:val="2"/>
            <w:tcBorders>
              <w:top w:val="nil"/>
              <w:left w:val="nil"/>
              <w:bottom w:val="nil"/>
              <w:right w:val="nil"/>
            </w:tcBorders>
          </w:tcPr>
          <w:p w:rsidR="003077CB" w:rsidRPr="002B69F7" w:rsidRDefault="002B69F7" w:rsidP="002B69F7">
            <w:pPr>
              <w:spacing w:after="120" w:line="320" w:lineRule="exact"/>
            </w:pPr>
            <w:r w:rsidRPr="002B69F7">
              <w:rPr>
                <w:rFonts w:hint="eastAsia"/>
              </w:rPr>
              <w:t>本條例第二十二條第一項第一款所稱區分所有權總價，指管理負責人或管理委員會促請該區分所有權人或住戶改善時，建築物之評定標準價格及當期土地公告現值之和。</w:t>
            </w:r>
          </w:p>
        </w:tc>
      </w:tr>
    </w:tbl>
    <w:p w:rsidR="002B69F7" w:rsidRDefault="002B69F7"/>
    <w:p w:rsidR="002B69F7" w:rsidRDefault="002B69F7" w:rsidP="002B69F7">
      <w:pPr>
        <w:spacing w:after="120" w:line="320" w:lineRule="exact"/>
        <w:ind w:right="176"/>
        <w:jc w:val="right"/>
        <w:sectPr w:rsidR="002B69F7" w:rsidSect="003077CB">
          <w:headerReference w:type="default" r:id="rId7"/>
          <w:pgSz w:w="11906" w:h="16838"/>
          <w:pgMar w:top="851" w:right="851" w:bottom="851" w:left="1134" w:header="567" w:footer="992" w:gutter="0"/>
          <w:cols w:space="425"/>
          <w:docGrid w:type="linesAndChars" w:linePitch="360"/>
        </w:sectPr>
      </w:pPr>
    </w:p>
    <w:tbl>
      <w:tblPr>
        <w:tblStyle w:val="a7"/>
        <w:tblW w:w="0" w:type="auto"/>
        <w:tblLook w:val="04A0" w:firstRow="1" w:lastRow="0" w:firstColumn="1" w:lastColumn="0" w:noHBand="0" w:noVBand="1"/>
      </w:tblPr>
      <w:tblGrid>
        <w:gridCol w:w="1668"/>
        <w:gridCol w:w="850"/>
        <w:gridCol w:w="7229"/>
      </w:tblGrid>
      <w:tr w:rsidR="003077CB" w:rsidRPr="002B69F7" w:rsidTr="002B69F7">
        <w:tc>
          <w:tcPr>
            <w:tcW w:w="1668" w:type="dxa"/>
            <w:tcBorders>
              <w:top w:val="nil"/>
              <w:left w:val="nil"/>
              <w:bottom w:val="nil"/>
              <w:right w:val="nil"/>
            </w:tcBorders>
          </w:tcPr>
          <w:p w:rsidR="003077CB" w:rsidRPr="002B69F7" w:rsidRDefault="003077CB" w:rsidP="002B69F7">
            <w:pPr>
              <w:spacing w:after="120" w:line="320" w:lineRule="exact"/>
              <w:ind w:right="176"/>
              <w:jc w:val="right"/>
            </w:pPr>
            <w:r w:rsidRPr="002B69F7">
              <w:rPr>
                <w:rFonts w:hint="eastAsia"/>
              </w:rPr>
              <w:lastRenderedPageBreak/>
              <w:t>第七條</w:t>
            </w:r>
          </w:p>
        </w:tc>
        <w:tc>
          <w:tcPr>
            <w:tcW w:w="8079" w:type="dxa"/>
            <w:gridSpan w:val="2"/>
            <w:tcBorders>
              <w:top w:val="nil"/>
              <w:left w:val="nil"/>
              <w:bottom w:val="nil"/>
              <w:right w:val="nil"/>
            </w:tcBorders>
          </w:tcPr>
          <w:p w:rsidR="002B69F7" w:rsidRPr="002B69F7" w:rsidRDefault="002B69F7" w:rsidP="002B69F7">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本條例第二十五條第三項所定由區分所有權人互推一人為召集人，除規約另有規定者外，應有區分所有權人二人以上書面推選，經公告十日後生效。</w:t>
            </w:r>
          </w:p>
          <w:p w:rsidR="002B69F7" w:rsidRPr="002B69F7" w:rsidRDefault="002B69F7" w:rsidP="002B69F7">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前項被推選人為數人或公告期間另有他人被推選時，以推選之區分所有權人人數較多者任之；人數相同時，以區分所有權比例合計較多者任之。新被推選人與原被推選人不為同一人時，公告日數應自新被推選人被推選之次日起算。</w:t>
            </w:r>
          </w:p>
          <w:p w:rsidR="002B69F7" w:rsidRPr="002B69F7" w:rsidRDefault="002B69F7" w:rsidP="002B69F7">
            <w:pPr>
              <w:pStyle w:val="Web"/>
              <w:spacing w:before="0" w:beforeAutospacing="0" w:after="120" w:afterAutospacing="0" w:line="320" w:lineRule="exact"/>
              <w:rPr>
                <w:rFonts w:ascii="華康仿宋體W6" w:eastAsia="華康仿宋體W6" w:hint="eastAsia"/>
              </w:rPr>
            </w:pPr>
            <w:r w:rsidRPr="002B69F7">
              <w:rPr>
                <w:rFonts w:ascii="華康仿宋體W6" w:eastAsia="華康仿宋體W6" w:hint="eastAsia"/>
              </w:rPr>
              <w:t>前二項之推選人於推選後喪失區分所有權人資格時，除受讓人另為意思表示者外，其所為之推選行為仍為有效。</w:t>
            </w:r>
          </w:p>
          <w:p w:rsidR="003077CB" w:rsidRPr="002B69F7" w:rsidRDefault="002B69F7" w:rsidP="002B69F7">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區分所有權人推選管理負責人時，準用前三項規定。</w:t>
            </w:r>
          </w:p>
        </w:tc>
      </w:tr>
      <w:tr w:rsidR="003077CB" w:rsidRPr="002B69F7" w:rsidTr="002B69F7">
        <w:tc>
          <w:tcPr>
            <w:tcW w:w="1668" w:type="dxa"/>
            <w:tcBorders>
              <w:top w:val="nil"/>
              <w:left w:val="nil"/>
              <w:bottom w:val="nil"/>
              <w:right w:val="nil"/>
            </w:tcBorders>
          </w:tcPr>
          <w:p w:rsidR="003077CB" w:rsidRPr="002B69F7" w:rsidRDefault="003077CB" w:rsidP="002B69F7">
            <w:pPr>
              <w:spacing w:after="120" w:line="320" w:lineRule="exact"/>
              <w:ind w:right="176"/>
              <w:jc w:val="right"/>
            </w:pPr>
            <w:r w:rsidRPr="002B69F7">
              <w:rPr>
                <w:rFonts w:hint="eastAsia"/>
              </w:rPr>
              <w:t>第八條</w:t>
            </w:r>
          </w:p>
        </w:tc>
        <w:tc>
          <w:tcPr>
            <w:tcW w:w="8079" w:type="dxa"/>
            <w:gridSpan w:val="2"/>
            <w:tcBorders>
              <w:top w:val="nil"/>
              <w:left w:val="nil"/>
              <w:bottom w:val="nil"/>
              <w:right w:val="nil"/>
            </w:tcBorders>
          </w:tcPr>
          <w:p w:rsidR="003077CB" w:rsidRPr="002B69F7" w:rsidRDefault="002B69F7" w:rsidP="002B69F7">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本條例第二十六條第一項、第二十八條第一項及第五十五條第一項所定報備之資料如下：</w:t>
            </w:r>
          </w:p>
        </w:tc>
      </w:tr>
      <w:tr w:rsidR="002B69F7" w:rsidRPr="002B69F7" w:rsidTr="00620B6E">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一、</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成立管理委員會或推選管理負責人時之全體區分所有權人名冊及出席區分所有權人名冊。</w:t>
            </w:r>
          </w:p>
        </w:tc>
      </w:tr>
      <w:tr w:rsidR="002B69F7" w:rsidRPr="002B69F7" w:rsidTr="00620B6E">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50"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二、</w:t>
            </w:r>
          </w:p>
        </w:tc>
        <w:tc>
          <w:tcPr>
            <w:tcW w:w="7229" w:type="dxa"/>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成立管理委員會或推選管理負責人時之區分所有權人會議會議紀錄或推選書或其他證明文件。</w:t>
            </w:r>
          </w:p>
        </w:tc>
      </w:tr>
      <w:tr w:rsidR="002B69F7" w:rsidRPr="002B69F7" w:rsidTr="00A631A9">
        <w:tc>
          <w:tcPr>
            <w:tcW w:w="1668" w:type="dxa"/>
            <w:tcBorders>
              <w:top w:val="nil"/>
              <w:left w:val="nil"/>
              <w:bottom w:val="nil"/>
              <w:right w:val="nil"/>
            </w:tcBorders>
          </w:tcPr>
          <w:p w:rsidR="002B69F7" w:rsidRPr="002B69F7" w:rsidRDefault="002B69F7" w:rsidP="00620B6E">
            <w:pPr>
              <w:spacing w:after="120" w:line="320" w:lineRule="exact"/>
              <w:ind w:right="176"/>
              <w:jc w:val="right"/>
            </w:pPr>
          </w:p>
        </w:tc>
        <w:tc>
          <w:tcPr>
            <w:tcW w:w="8079" w:type="dxa"/>
            <w:gridSpan w:val="2"/>
            <w:tcBorders>
              <w:top w:val="nil"/>
              <w:left w:val="nil"/>
              <w:bottom w:val="nil"/>
              <w:right w:val="nil"/>
            </w:tcBorders>
          </w:tcPr>
          <w:p w:rsidR="002B69F7" w:rsidRPr="002B69F7" w:rsidRDefault="002B69F7" w:rsidP="00620B6E">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直轄市、縣（市）主管機關受理前項報備資料，應予建檔。</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t>第九條</w:t>
            </w:r>
          </w:p>
        </w:tc>
        <w:tc>
          <w:tcPr>
            <w:tcW w:w="8079" w:type="dxa"/>
            <w:gridSpan w:val="2"/>
            <w:tcBorders>
              <w:top w:val="nil"/>
              <w:left w:val="nil"/>
              <w:bottom w:val="nil"/>
              <w:right w:val="nil"/>
            </w:tcBorders>
          </w:tcPr>
          <w:p w:rsidR="004F3C74" w:rsidRPr="002B69F7" w:rsidRDefault="00B25788" w:rsidP="002B69F7">
            <w:pPr>
              <w:spacing w:after="120" w:line="320" w:lineRule="exact"/>
            </w:pPr>
            <w:r w:rsidRPr="00B25788">
              <w:rPr>
                <w:rFonts w:hint="eastAsia"/>
              </w:rPr>
              <w:t>本條例第三十三條第二款所定無線電臺基地臺等類似強波發射設備，由無線電臺基地臺之目的事業主管機關認定之。</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t>第十條</w:t>
            </w:r>
          </w:p>
        </w:tc>
        <w:tc>
          <w:tcPr>
            <w:tcW w:w="8079" w:type="dxa"/>
            <w:gridSpan w:val="2"/>
            <w:tcBorders>
              <w:top w:val="nil"/>
              <w:left w:val="nil"/>
              <w:bottom w:val="nil"/>
              <w:right w:val="nil"/>
            </w:tcBorders>
          </w:tcPr>
          <w:p w:rsidR="004F3C74" w:rsidRPr="002B69F7" w:rsidRDefault="00B25788" w:rsidP="002B69F7">
            <w:pPr>
              <w:spacing w:after="120" w:line="320" w:lineRule="exact"/>
              <w:rPr>
                <w:rFonts w:ascii="華康仿宋體W6"/>
              </w:rPr>
            </w:pPr>
            <w:r w:rsidRPr="00B25788">
              <w:rPr>
                <w:rFonts w:ascii="華康仿宋體W6" w:hint="eastAsia"/>
              </w:rPr>
              <w:t>本條例第二十六條第一項第四款、第三十五條及第三十六條第八款所稱會計憑證，指證明會計事項之原始憑證；會計帳簿，指日記帳及總分類帳；財務報表，指公共基金之現金收支表及管理維護費之現金收支表及財產目錄、費用及應收未收款明細。</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t>第十一條</w:t>
            </w:r>
          </w:p>
        </w:tc>
        <w:tc>
          <w:tcPr>
            <w:tcW w:w="8079" w:type="dxa"/>
            <w:gridSpan w:val="2"/>
            <w:tcBorders>
              <w:top w:val="nil"/>
              <w:left w:val="nil"/>
              <w:bottom w:val="nil"/>
              <w:right w:val="nil"/>
            </w:tcBorders>
          </w:tcPr>
          <w:p w:rsidR="004F3C74" w:rsidRPr="002B69F7" w:rsidRDefault="00B25788" w:rsidP="002B69F7">
            <w:pPr>
              <w:spacing w:after="120" w:line="320" w:lineRule="exact"/>
            </w:pPr>
            <w:r w:rsidRPr="00B25788">
              <w:rPr>
                <w:rFonts w:hint="eastAsia"/>
              </w:rPr>
              <w:t>本條例第三十六條所定管理委員會之職務，除第七款至第九款、第十一款及第十二款外，經管理委員會決議或管理負責人以書面授權者，得由管理服務人執行之。但區分所有權人會議或規約另有規定者，從其規定。</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t>第十二條</w:t>
            </w:r>
          </w:p>
        </w:tc>
        <w:tc>
          <w:tcPr>
            <w:tcW w:w="8079" w:type="dxa"/>
            <w:gridSpan w:val="2"/>
            <w:tcBorders>
              <w:top w:val="nil"/>
              <w:left w:val="nil"/>
              <w:bottom w:val="nil"/>
              <w:right w:val="nil"/>
            </w:tcBorders>
          </w:tcPr>
          <w:p w:rsidR="004F3C74" w:rsidRPr="002B69F7" w:rsidRDefault="00B25788" w:rsidP="002B69F7">
            <w:pPr>
              <w:spacing w:after="120" w:line="320" w:lineRule="exact"/>
            </w:pPr>
            <w:r w:rsidRPr="00B25788">
              <w:rPr>
                <w:rFonts w:hint="eastAsia"/>
              </w:rPr>
              <w:t>本條例第五十三條所定其共同設施之使用與管理具有整體不可分性之集居地區，指下列情形之一：</w:t>
            </w:r>
          </w:p>
        </w:tc>
      </w:tr>
      <w:tr w:rsidR="00B25788" w:rsidRPr="002B69F7" w:rsidTr="00620B6E">
        <w:tc>
          <w:tcPr>
            <w:tcW w:w="1668" w:type="dxa"/>
            <w:tcBorders>
              <w:top w:val="nil"/>
              <w:left w:val="nil"/>
              <w:bottom w:val="nil"/>
              <w:right w:val="nil"/>
            </w:tcBorders>
          </w:tcPr>
          <w:p w:rsidR="00B25788" w:rsidRPr="002B69F7" w:rsidRDefault="00B25788" w:rsidP="00620B6E">
            <w:pPr>
              <w:spacing w:after="120" w:line="320" w:lineRule="exact"/>
              <w:ind w:right="176"/>
              <w:jc w:val="right"/>
            </w:pPr>
          </w:p>
        </w:tc>
        <w:tc>
          <w:tcPr>
            <w:tcW w:w="850"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一、</w:t>
            </w:r>
          </w:p>
        </w:tc>
        <w:tc>
          <w:tcPr>
            <w:tcW w:w="7229"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rPr>
                <w:rFonts w:ascii="華康仿宋體W6" w:eastAsia="華康仿宋體W6"/>
              </w:rPr>
            </w:pPr>
            <w:r w:rsidRPr="00B25788">
              <w:rPr>
                <w:rFonts w:ascii="華康仿宋體W6" w:eastAsia="華康仿宋體W6" w:hint="eastAsia"/>
              </w:rPr>
              <w:t>依建築法第十一條規定之一宗建築基地。</w:t>
            </w:r>
          </w:p>
        </w:tc>
      </w:tr>
      <w:tr w:rsidR="00B25788" w:rsidRPr="002B69F7" w:rsidTr="00620B6E">
        <w:tc>
          <w:tcPr>
            <w:tcW w:w="1668" w:type="dxa"/>
            <w:tcBorders>
              <w:top w:val="nil"/>
              <w:left w:val="nil"/>
              <w:bottom w:val="nil"/>
              <w:right w:val="nil"/>
            </w:tcBorders>
          </w:tcPr>
          <w:p w:rsidR="00B25788" w:rsidRPr="002B69F7" w:rsidRDefault="00B25788" w:rsidP="00620B6E">
            <w:pPr>
              <w:spacing w:after="120" w:line="320" w:lineRule="exact"/>
              <w:ind w:right="176"/>
              <w:jc w:val="right"/>
            </w:pPr>
          </w:p>
        </w:tc>
        <w:tc>
          <w:tcPr>
            <w:tcW w:w="850"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二、</w:t>
            </w:r>
          </w:p>
        </w:tc>
        <w:tc>
          <w:tcPr>
            <w:tcW w:w="7229"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rPr>
                <w:rFonts w:ascii="華康仿宋體W6" w:eastAsia="華康仿宋體W6"/>
              </w:rPr>
            </w:pPr>
            <w:r w:rsidRPr="00B25788">
              <w:rPr>
                <w:rFonts w:ascii="華康仿宋體W6" w:eastAsia="華康仿宋體W6" w:hint="eastAsia"/>
              </w:rPr>
              <w:t>依非都市土地使用管制規則及中華民國九十二年三月二十六日修正施行前山坡地開發建築管理辦法申請開發許可範圍內之地區。</w:t>
            </w:r>
          </w:p>
        </w:tc>
      </w:tr>
      <w:tr w:rsidR="00B25788" w:rsidRPr="002B69F7" w:rsidTr="00620B6E">
        <w:tc>
          <w:tcPr>
            <w:tcW w:w="1668" w:type="dxa"/>
            <w:tcBorders>
              <w:top w:val="nil"/>
              <w:left w:val="nil"/>
              <w:bottom w:val="nil"/>
              <w:right w:val="nil"/>
            </w:tcBorders>
          </w:tcPr>
          <w:p w:rsidR="00B25788" w:rsidRPr="002B69F7" w:rsidRDefault="00B25788" w:rsidP="00620B6E">
            <w:pPr>
              <w:spacing w:after="120" w:line="320" w:lineRule="exact"/>
              <w:ind w:right="176"/>
              <w:jc w:val="right"/>
            </w:pPr>
          </w:p>
        </w:tc>
        <w:tc>
          <w:tcPr>
            <w:tcW w:w="850"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jc w:val="right"/>
              <w:rPr>
                <w:rFonts w:ascii="華康仿宋體W6" w:eastAsia="華康仿宋體W6"/>
              </w:rPr>
            </w:pPr>
            <w:r w:rsidRPr="002B69F7">
              <w:rPr>
                <w:rFonts w:ascii="華康仿宋體W6" w:eastAsia="華康仿宋體W6" w:hint="eastAsia"/>
              </w:rPr>
              <w:t>三、</w:t>
            </w:r>
          </w:p>
        </w:tc>
        <w:tc>
          <w:tcPr>
            <w:tcW w:w="7229" w:type="dxa"/>
            <w:tcBorders>
              <w:top w:val="nil"/>
              <w:left w:val="nil"/>
              <w:bottom w:val="nil"/>
              <w:right w:val="nil"/>
            </w:tcBorders>
          </w:tcPr>
          <w:p w:rsidR="00B25788" w:rsidRPr="002B69F7" w:rsidRDefault="00B25788" w:rsidP="00620B6E">
            <w:pPr>
              <w:pStyle w:val="Web"/>
              <w:spacing w:before="0" w:beforeAutospacing="0" w:after="120" w:afterAutospacing="0" w:line="320" w:lineRule="exact"/>
              <w:rPr>
                <w:rFonts w:ascii="華康仿宋體W6" w:eastAsia="華康仿宋體W6"/>
              </w:rPr>
            </w:pPr>
            <w:r w:rsidRPr="00B25788">
              <w:rPr>
                <w:rFonts w:ascii="華康仿宋體W6" w:eastAsia="華康仿宋體W6" w:hint="eastAsia"/>
              </w:rPr>
              <w:t>其他經直轄市、縣（市）主管機關認定其共同設施之使用與管理具有整體不可分割之地區。</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t>第十三條</w:t>
            </w:r>
          </w:p>
        </w:tc>
        <w:tc>
          <w:tcPr>
            <w:tcW w:w="8079" w:type="dxa"/>
            <w:gridSpan w:val="2"/>
            <w:tcBorders>
              <w:top w:val="nil"/>
              <w:left w:val="nil"/>
              <w:bottom w:val="nil"/>
              <w:right w:val="nil"/>
            </w:tcBorders>
          </w:tcPr>
          <w:p w:rsidR="004F3C74" w:rsidRPr="002B69F7" w:rsidRDefault="00B25788" w:rsidP="002B69F7">
            <w:pPr>
              <w:spacing w:after="120" w:line="320" w:lineRule="exact"/>
            </w:pPr>
            <w:r w:rsidRPr="00B25788">
              <w:rPr>
                <w:rFonts w:hint="eastAsia"/>
              </w:rPr>
              <w:t>本條例所定之公告，應於公寓大廈公告欄內為之；未設公告欄者，應於主要出入口明顯處所為之。</w:t>
            </w:r>
          </w:p>
        </w:tc>
      </w:tr>
      <w:tr w:rsidR="004F3C74" w:rsidRPr="002B69F7" w:rsidTr="00B27AA9">
        <w:tc>
          <w:tcPr>
            <w:tcW w:w="1668" w:type="dxa"/>
            <w:tcBorders>
              <w:top w:val="nil"/>
              <w:left w:val="nil"/>
              <w:bottom w:val="nil"/>
              <w:right w:val="nil"/>
            </w:tcBorders>
          </w:tcPr>
          <w:p w:rsidR="004F3C74" w:rsidRPr="002B69F7" w:rsidRDefault="004F3C74" w:rsidP="002B69F7">
            <w:pPr>
              <w:spacing w:after="120" w:line="320" w:lineRule="exact"/>
              <w:ind w:right="176"/>
              <w:jc w:val="right"/>
            </w:pPr>
            <w:r w:rsidRPr="002B69F7">
              <w:rPr>
                <w:rFonts w:hint="eastAsia"/>
              </w:rPr>
              <w:t>第十四條</w:t>
            </w:r>
          </w:p>
        </w:tc>
        <w:tc>
          <w:tcPr>
            <w:tcW w:w="8079" w:type="dxa"/>
            <w:gridSpan w:val="2"/>
            <w:tcBorders>
              <w:top w:val="nil"/>
              <w:left w:val="nil"/>
              <w:bottom w:val="nil"/>
              <w:right w:val="nil"/>
            </w:tcBorders>
          </w:tcPr>
          <w:p w:rsidR="004F3C74" w:rsidRPr="002B69F7" w:rsidRDefault="00B25788" w:rsidP="002B69F7">
            <w:pPr>
              <w:pStyle w:val="Web"/>
              <w:spacing w:before="0" w:beforeAutospacing="0" w:after="120" w:afterAutospacing="0" w:line="320" w:lineRule="exact"/>
              <w:rPr>
                <w:rFonts w:ascii="華康仿宋體W6" w:eastAsia="華康仿宋體W6"/>
              </w:rPr>
            </w:pPr>
            <w:r w:rsidRPr="00B25788">
              <w:rPr>
                <w:rFonts w:ascii="華康仿宋體W6" w:eastAsia="華康仿宋體W6" w:hint="eastAsia"/>
              </w:rPr>
              <w:t>本細則自發布日施行。</w:t>
            </w:r>
          </w:p>
        </w:tc>
      </w:tr>
      <w:tr w:rsidR="00B27AA9" w:rsidRPr="002B69F7" w:rsidTr="00B27A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68" w:type="dxa"/>
          </w:tcPr>
          <w:p w:rsidR="00B27AA9" w:rsidRPr="002B69F7" w:rsidRDefault="00B27AA9" w:rsidP="002B69F7">
            <w:pPr>
              <w:widowControl/>
              <w:spacing w:after="120"/>
            </w:pPr>
          </w:p>
        </w:tc>
        <w:tc>
          <w:tcPr>
            <w:tcW w:w="8079" w:type="dxa"/>
            <w:gridSpan w:val="2"/>
          </w:tcPr>
          <w:p w:rsidR="00B27AA9" w:rsidRPr="002B69F7" w:rsidRDefault="00B27AA9" w:rsidP="002B69F7">
            <w:pPr>
              <w:pStyle w:val="Web"/>
              <w:spacing w:before="0" w:beforeAutospacing="0" w:after="120" w:afterAutospacing="0" w:line="320" w:lineRule="exact"/>
              <w:rPr>
                <w:rFonts w:ascii="華康仿宋體W6" w:eastAsia="華康仿宋體W6"/>
              </w:rPr>
            </w:pPr>
          </w:p>
        </w:tc>
      </w:tr>
      <w:tr w:rsidR="00B27AA9" w:rsidRPr="002B69F7" w:rsidTr="00B27A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47" w:type="dxa"/>
            <w:gridSpan w:val="3"/>
          </w:tcPr>
          <w:p w:rsidR="00B27AA9" w:rsidRPr="002B69F7" w:rsidRDefault="00B27AA9" w:rsidP="002B69F7">
            <w:pPr>
              <w:pStyle w:val="Web"/>
              <w:spacing w:before="0" w:beforeAutospacing="0" w:after="120" w:afterAutospacing="0" w:line="320" w:lineRule="exact"/>
              <w:rPr>
                <w:rFonts w:ascii="華康仿宋體W6" w:eastAsia="華康仿宋體W6"/>
              </w:rPr>
            </w:pPr>
            <w:r w:rsidRPr="002B69F7">
              <w:rPr>
                <w:rFonts w:ascii="華康仿宋體W6" w:eastAsia="華康仿宋體W6" w:hint="eastAsia"/>
              </w:rPr>
              <w:t>最後更新日期：</w:t>
            </w:r>
            <w:r w:rsidRPr="002B69F7">
              <w:rPr>
                <w:rFonts w:ascii="Times New Roman" w:eastAsia="華康仿宋體W6" w:hAnsi="Times New Roman" w:cs="Times New Roman"/>
              </w:rPr>
              <w:t>201</w:t>
            </w:r>
            <w:r w:rsidR="002B69F7" w:rsidRPr="002B69F7">
              <w:rPr>
                <w:rFonts w:ascii="Times New Roman" w:eastAsia="華康仿宋體W6" w:hAnsi="Times New Roman" w:cs="Times New Roman" w:hint="eastAsia"/>
              </w:rPr>
              <w:t>3</w:t>
            </w:r>
            <w:r w:rsidRPr="002B69F7">
              <w:rPr>
                <w:rFonts w:ascii="Times New Roman" w:eastAsia="華康仿宋體W6" w:hAnsi="Times New Roman" w:cs="Times New Roman"/>
              </w:rPr>
              <w:t>-0</w:t>
            </w:r>
            <w:r w:rsidR="002B69F7" w:rsidRPr="002B69F7">
              <w:rPr>
                <w:rFonts w:ascii="Times New Roman" w:eastAsia="華康仿宋體W6" w:hAnsi="Times New Roman" w:cs="Times New Roman" w:hint="eastAsia"/>
              </w:rPr>
              <w:t>1</w:t>
            </w:r>
            <w:r w:rsidRPr="002B69F7">
              <w:rPr>
                <w:rFonts w:ascii="Times New Roman" w:eastAsia="華康仿宋體W6" w:hAnsi="Times New Roman" w:cs="Times New Roman"/>
              </w:rPr>
              <w:t>-</w:t>
            </w:r>
            <w:r w:rsidR="002B69F7" w:rsidRPr="002B69F7">
              <w:rPr>
                <w:rFonts w:ascii="Times New Roman" w:eastAsia="華康仿宋體W6" w:hAnsi="Times New Roman" w:cs="Times New Roman" w:hint="eastAsia"/>
              </w:rPr>
              <w:t>10</w:t>
            </w:r>
          </w:p>
        </w:tc>
      </w:tr>
    </w:tbl>
    <w:p w:rsidR="00AD7030" w:rsidRPr="002B69F7" w:rsidRDefault="00AD7030" w:rsidP="002B69F7">
      <w:pPr>
        <w:spacing w:after="120"/>
      </w:pPr>
    </w:p>
    <w:sectPr w:rsidR="00AD7030" w:rsidRPr="002B69F7" w:rsidSect="003077CB">
      <w:pgSz w:w="11906" w:h="16838"/>
      <w:pgMar w:top="851" w:right="851" w:bottom="851" w:left="1134" w:header="567"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00F" w:rsidRDefault="0093300F" w:rsidP="00FA0627">
      <w:r>
        <w:separator/>
      </w:r>
    </w:p>
  </w:endnote>
  <w:endnote w:type="continuationSeparator" w:id="0">
    <w:p w:rsidR="0093300F" w:rsidRDefault="0093300F" w:rsidP="00FA0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華康仿宋體W6">
    <w:panose1 w:val="020206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00F" w:rsidRDefault="0093300F" w:rsidP="00FA0627">
      <w:r>
        <w:separator/>
      </w:r>
    </w:p>
  </w:footnote>
  <w:footnote w:type="continuationSeparator" w:id="0">
    <w:p w:rsidR="0093300F" w:rsidRDefault="0093300F" w:rsidP="00FA0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center"/>
      <w:tblInd w:w="-2135" w:type="dxa"/>
      <w:tblBorders>
        <w:top w:val="none" w:sz="0" w:space="0" w:color="auto"/>
        <w:left w:val="none" w:sz="0" w:space="0" w:color="auto"/>
        <w:bottom w:val="thinThickSmallGap" w:sz="36" w:space="0" w:color="0070C0"/>
        <w:right w:val="none" w:sz="0" w:space="0" w:color="auto"/>
        <w:insideH w:val="none" w:sz="0" w:space="0" w:color="auto"/>
        <w:insideV w:val="none" w:sz="0" w:space="0" w:color="auto"/>
      </w:tblBorders>
      <w:tblLook w:val="04A0" w:firstRow="1" w:lastRow="0" w:firstColumn="1" w:lastColumn="0" w:noHBand="0" w:noVBand="1"/>
    </w:tblPr>
    <w:tblGrid>
      <w:gridCol w:w="1176"/>
      <w:gridCol w:w="5128"/>
      <w:gridCol w:w="4795"/>
      <w:gridCol w:w="1173"/>
    </w:tblGrid>
    <w:tr w:rsidR="002135A3" w:rsidTr="003077CB">
      <w:trPr>
        <w:jc w:val="center"/>
      </w:trPr>
      <w:tc>
        <w:tcPr>
          <w:tcW w:w="1176" w:type="dxa"/>
          <w:vAlign w:val="center"/>
        </w:tcPr>
        <w:p w:rsidR="002135A3" w:rsidRDefault="002135A3" w:rsidP="00FA0627">
          <w:pPr>
            <w:pStyle w:val="a3"/>
            <w:jc w:val="center"/>
          </w:pPr>
        </w:p>
      </w:tc>
      <w:tc>
        <w:tcPr>
          <w:tcW w:w="5128" w:type="dxa"/>
          <w:vAlign w:val="center"/>
        </w:tcPr>
        <w:p w:rsidR="002135A3" w:rsidRPr="00AD7030" w:rsidRDefault="002135A3" w:rsidP="00FA0627">
          <w:pPr>
            <w:pStyle w:val="a3"/>
            <w:rPr>
              <w:rFonts w:ascii="華康仿宋體W6"/>
              <w:sz w:val="22"/>
              <w:szCs w:val="22"/>
            </w:rPr>
          </w:pPr>
          <w:r w:rsidRPr="00AD7030">
            <w:rPr>
              <w:rFonts w:ascii="華康仿宋體W6" w:hint="eastAsia"/>
              <w:sz w:val="22"/>
              <w:szCs w:val="22"/>
            </w:rPr>
            <w:t>內政部營建署─</w:t>
          </w:r>
          <w:r w:rsidR="002B69F7" w:rsidRPr="002B69F7">
            <w:rPr>
              <w:rFonts w:ascii="華康仿宋體W6" w:hint="eastAsia"/>
              <w:sz w:val="22"/>
              <w:szCs w:val="22"/>
            </w:rPr>
            <w:t>公寓大廈管理條例施行細則</w:t>
          </w:r>
        </w:p>
      </w:tc>
      <w:tc>
        <w:tcPr>
          <w:tcW w:w="4795" w:type="dxa"/>
          <w:vAlign w:val="center"/>
        </w:tcPr>
        <w:p w:rsidR="002135A3" w:rsidRPr="00AD7030" w:rsidRDefault="002135A3" w:rsidP="00FA0627">
          <w:pPr>
            <w:pStyle w:val="a3"/>
            <w:jc w:val="right"/>
            <w:rPr>
              <w:rFonts w:ascii="華康仿宋體W6"/>
              <w:sz w:val="22"/>
              <w:szCs w:val="22"/>
            </w:rPr>
          </w:pPr>
          <w:r w:rsidRPr="00AD7030">
            <w:rPr>
              <w:rFonts w:ascii="華康仿宋體W6" w:hint="eastAsia"/>
              <w:sz w:val="22"/>
              <w:szCs w:val="22"/>
            </w:rPr>
            <w:t>第</w:t>
          </w:r>
          <w:r w:rsidRPr="00AD7030">
            <w:rPr>
              <w:rFonts w:ascii="華康仿宋體W6" w:hint="eastAsia"/>
              <w:sz w:val="22"/>
              <w:szCs w:val="22"/>
            </w:rPr>
            <w:fldChar w:fldCharType="begin"/>
          </w:r>
          <w:r w:rsidRPr="00AD7030">
            <w:rPr>
              <w:rFonts w:ascii="華康仿宋體W6" w:hint="eastAsia"/>
              <w:sz w:val="22"/>
              <w:szCs w:val="22"/>
            </w:rPr>
            <w:instrText>PAGE   \* MERGEFORMAT</w:instrText>
          </w:r>
          <w:r w:rsidRPr="00AD7030">
            <w:rPr>
              <w:rFonts w:ascii="華康仿宋體W6" w:hint="eastAsia"/>
              <w:sz w:val="22"/>
              <w:szCs w:val="22"/>
            </w:rPr>
            <w:fldChar w:fldCharType="separate"/>
          </w:r>
          <w:r w:rsidR="00671E08" w:rsidRPr="00671E08">
            <w:rPr>
              <w:rFonts w:ascii="華康仿宋體W6"/>
              <w:noProof/>
              <w:sz w:val="22"/>
              <w:szCs w:val="22"/>
              <w:lang w:val="zh-TW"/>
            </w:rPr>
            <w:t>2</w:t>
          </w:r>
          <w:r w:rsidRPr="00AD7030">
            <w:rPr>
              <w:rFonts w:ascii="華康仿宋體W6" w:hint="eastAsia"/>
              <w:sz w:val="22"/>
              <w:szCs w:val="22"/>
            </w:rPr>
            <w:fldChar w:fldCharType="end"/>
          </w:r>
          <w:r w:rsidRPr="00AD7030">
            <w:rPr>
              <w:rFonts w:ascii="華康仿宋體W6" w:hint="eastAsia"/>
              <w:sz w:val="22"/>
              <w:szCs w:val="22"/>
            </w:rPr>
            <w:t>頁/共</w:t>
          </w:r>
          <w:r w:rsidRPr="00AD7030">
            <w:rPr>
              <w:rFonts w:ascii="華康仿宋體W6" w:hint="eastAsia"/>
              <w:sz w:val="22"/>
              <w:szCs w:val="22"/>
            </w:rPr>
            <w:fldChar w:fldCharType="begin"/>
          </w:r>
          <w:r w:rsidRPr="00AD7030">
            <w:rPr>
              <w:rFonts w:ascii="華康仿宋體W6" w:hint="eastAsia"/>
              <w:sz w:val="22"/>
              <w:szCs w:val="22"/>
            </w:rPr>
            <w:instrText>NUMPAGES  \* MERGEFORMAT</w:instrText>
          </w:r>
          <w:r w:rsidRPr="00AD7030">
            <w:rPr>
              <w:rFonts w:ascii="華康仿宋體W6" w:hint="eastAsia"/>
              <w:sz w:val="22"/>
              <w:szCs w:val="22"/>
            </w:rPr>
            <w:fldChar w:fldCharType="separate"/>
          </w:r>
          <w:r w:rsidR="00671E08" w:rsidRPr="00671E08">
            <w:rPr>
              <w:rFonts w:ascii="華康仿宋體W6"/>
              <w:noProof/>
              <w:sz w:val="22"/>
              <w:szCs w:val="22"/>
              <w:lang w:val="zh-TW"/>
            </w:rPr>
            <w:t>2</w:t>
          </w:r>
          <w:r w:rsidRPr="00AD7030">
            <w:rPr>
              <w:rFonts w:ascii="華康仿宋體W6" w:hint="eastAsia"/>
              <w:sz w:val="22"/>
              <w:szCs w:val="22"/>
            </w:rPr>
            <w:fldChar w:fldCharType="end"/>
          </w:r>
          <w:r w:rsidRPr="00AD7030">
            <w:rPr>
              <w:rFonts w:ascii="華康仿宋體W6" w:hint="eastAsia"/>
              <w:sz w:val="22"/>
              <w:szCs w:val="22"/>
            </w:rPr>
            <w:t>頁</w:t>
          </w:r>
        </w:p>
      </w:tc>
      <w:tc>
        <w:tcPr>
          <w:tcW w:w="1173" w:type="dxa"/>
          <w:vAlign w:val="center"/>
        </w:tcPr>
        <w:p w:rsidR="002135A3" w:rsidRDefault="002135A3" w:rsidP="00FA0627">
          <w:pPr>
            <w:pStyle w:val="a3"/>
            <w:jc w:val="center"/>
          </w:pPr>
        </w:p>
      </w:tc>
    </w:tr>
  </w:tbl>
  <w:p w:rsidR="002135A3" w:rsidRDefault="002135A3" w:rsidP="00FA06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627"/>
    <w:rsid w:val="001F4E6D"/>
    <w:rsid w:val="002135A3"/>
    <w:rsid w:val="002B69F7"/>
    <w:rsid w:val="003077CB"/>
    <w:rsid w:val="00423BCF"/>
    <w:rsid w:val="004F3C74"/>
    <w:rsid w:val="00671E08"/>
    <w:rsid w:val="00682184"/>
    <w:rsid w:val="006A1D9E"/>
    <w:rsid w:val="0093300F"/>
    <w:rsid w:val="00A001F2"/>
    <w:rsid w:val="00AD7030"/>
    <w:rsid w:val="00B25788"/>
    <w:rsid w:val="00B27AA9"/>
    <w:rsid w:val="00BC5F52"/>
    <w:rsid w:val="00E80892"/>
    <w:rsid w:val="00FA06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030"/>
    <w:pPr>
      <w:widowControl w:val="0"/>
    </w:pPr>
    <w:rPr>
      <w:rFonts w:ascii="Times New Roman" w:eastAsia="華康仿宋體W6"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627"/>
    <w:pPr>
      <w:tabs>
        <w:tab w:val="center" w:pos="4153"/>
        <w:tab w:val="right" w:pos="8306"/>
      </w:tabs>
      <w:snapToGrid w:val="0"/>
    </w:pPr>
    <w:rPr>
      <w:sz w:val="20"/>
      <w:szCs w:val="20"/>
    </w:rPr>
  </w:style>
  <w:style w:type="character" w:customStyle="1" w:styleId="a4">
    <w:name w:val="頁首 字元"/>
    <w:basedOn w:val="a0"/>
    <w:link w:val="a3"/>
    <w:uiPriority w:val="99"/>
    <w:rsid w:val="00FA0627"/>
    <w:rPr>
      <w:sz w:val="20"/>
      <w:szCs w:val="20"/>
    </w:rPr>
  </w:style>
  <w:style w:type="paragraph" w:styleId="a5">
    <w:name w:val="footer"/>
    <w:basedOn w:val="a"/>
    <w:link w:val="a6"/>
    <w:uiPriority w:val="99"/>
    <w:unhideWhenUsed/>
    <w:rsid w:val="00FA0627"/>
    <w:pPr>
      <w:tabs>
        <w:tab w:val="center" w:pos="4153"/>
        <w:tab w:val="right" w:pos="8306"/>
      </w:tabs>
      <w:snapToGrid w:val="0"/>
    </w:pPr>
    <w:rPr>
      <w:sz w:val="20"/>
      <w:szCs w:val="20"/>
    </w:rPr>
  </w:style>
  <w:style w:type="character" w:customStyle="1" w:styleId="a6">
    <w:name w:val="頁尾 字元"/>
    <w:basedOn w:val="a0"/>
    <w:link w:val="a5"/>
    <w:uiPriority w:val="99"/>
    <w:rsid w:val="00FA0627"/>
    <w:rPr>
      <w:sz w:val="20"/>
      <w:szCs w:val="20"/>
    </w:rPr>
  </w:style>
  <w:style w:type="table" w:styleId="a7">
    <w:name w:val="Table Grid"/>
    <w:basedOn w:val="a1"/>
    <w:uiPriority w:val="59"/>
    <w:rsid w:val="00FA0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D7030"/>
    <w:pPr>
      <w:widowControl/>
      <w:spacing w:before="100" w:beforeAutospacing="1" w:after="100" w:afterAutospacing="1"/>
    </w:pPr>
    <w:rPr>
      <w:rFonts w:ascii="新細明體" w:eastAsia="新細明體" w:hAnsi="新細明體" w:cs="新細明體"/>
      <w:kern w:val="0"/>
      <w:szCs w:val="24"/>
    </w:rPr>
  </w:style>
  <w:style w:type="character" w:styleId="a8">
    <w:name w:val="Strong"/>
    <w:basedOn w:val="a0"/>
    <w:uiPriority w:val="22"/>
    <w:qFormat/>
    <w:rsid w:val="003077CB"/>
    <w:rPr>
      <w:b/>
      <w:bCs/>
    </w:rPr>
  </w:style>
  <w:style w:type="character" w:styleId="a9">
    <w:name w:val="annotation reference"/>
    <w:basedOn w:val="a0"/>
    <w:uiPriority w:val="99"/>
    <w:semiHidden/>
    <w:unhideWhenUsed/>
    <w:rsid w:val="00A001F2"/>
    <w:rPr>
      <w:sz w:val="18"/>
      <w:szCs w:val="18"/>
    </w:rPr>
  </w:style>
  <w:style w:type="paragraph" w:styleId="aa">
    <w:name w:val="annotation text"/>
    <w:basedOn w:val="a"/>
    <w:link w:val="ab"/>
    <w:uiPriority w:val="99"/>
    <w:semiHidden/>
    <w:unhideWhenUsed/>
    <w:rsid w:val="00A001F2"/>
  </w:style>
  <w:style w:type="character" w:customStyle="1" w:styleId="ab">
    <w:name w:val="註解文字 字元"/>
    <w:basedOn w:val="a0"/>
    <w:link w:val="aa"/>
    <w:uiPriority w:val="99"/>
    <w:semiHidden/>
    <w:rsid w:val="00A001F2"/>
    <w:rPr>
      <w:rFonts w:ascii="Times New Roman" w:eastAsia="華康仿宋體W6" w:hAnsi="Times New Roman"/>
    </w:rPr>
  </w:style>
  <w:style w:type="paragraph" w:styleId="ac">
    <w:name w:val="annotation subject"/>
    <w:basedOn w:val="aa"/>
    <w:next w:val="aa"/>
    <w:link w:val="ad"/>
    <w:uiPriority w:val="99"/>
    <w:semiHidden/>
    <w:unhideWhenUsed/>
    <w:rsid w:val="00A001F2"/>
    <w:rPr>
      <w:b/>
      <w:bCs/>
    </w:rPr>
  </w:style>
  <w:style w:type="character" w:customStyle="1" w:styleId="ad">
    <w:name w:val="註解主旨 字元"/>
    <w:basedOn w:val="ab"/>
    <w:link w:val="ac"/>
    <w:uiPriority w:val="99"/>
    <w:semiHidden/>
    <w:rsid w:val="00A001F2"/>
    <w:rPr>
      <w:rFonts w:ascii="Times New Roman" w:eastAsia="華康仿宋體W6" w:hAnsi="Times New Roman"/>
      <w:b/>
      <w:bCs/>
    </w:rPr>
  </w:style>
  <w:style w:type="paragraph" w:styleId="ae">
    <w:name w:val="Balloon Text"/>
    <w:basedOn w:val="a"/>
    <w:link w:val="af"/>
    <w:uiPriority w:val="99"/>
    <w:semiHidden/>
    <w:unhideWhenUsed/>
    <w:rsid w:val="00A001F2"/>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A001F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030"/>
    <w:pPr>
      <w:widowControl w:val="0"/>
    </w:pPr>
    <w:rPr>
      <w:rFonts w:ascii="Times New Roman" w:eastAsia="華康仿宋體W6"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627"/>
    <w:pPr>
      <w:tabs>
        <w:tab w:val="center" w:pos="4153"/>
        <w:tab w:val="right" w:pos="8306"/>
      </w:tabs>
      <w:snapToGrid w:val="0"/>
    </w:pPr>
    <w:rPr>
      <w:sz w:val="20"/>
      <w:szCs w:val="20"/>
    </w:rPr>
  </w:style>
  <w:style w:type="character" w:customStyle="1" w:styleId="a4">
    <w:name w:val="頁首 字元"/>
    <w:basedOn w:val="a0"/>
    <w:link w:val="a3"/>
    <w:uiPriority w:val="99"/>
    <w:rsid w:val="00FA0627"/>
    <w:rPr>
      <w:sz w:val="20"/>
      <w:szCs w:val="20"/>
    </w:rPr>
  </w:style>
  <w:style w:type="paragraph" w:styleId="a5">
    <w:name w:val="footer"/>
    <w:basedOn w:val="a"/>
    <w:link w:val="a6"/>
    <w:uiPriority w:val="99"/>
    <w:unhideWhenUsed/>
    <w:rsid w:val="00FA0627"/>
    <w:pPr>
      <w:tabs>
        <w:tab w:val="center" w:pos="4153"/>
        <w:tab w:val="right" w:pos="8306"/>
      </w:tabs>
      <w:snapToGrid w:val="0"/>
    </w:pPr>
    <w:rPr>
      <w:sz w:val="20"/>
      <w:szCs w:val="20"/>
    </w:rPr>
  </w:style>
  <w:style w:type="character" w:customStyle="1" w:styleId="a6">
    <w:name w:val="頁尾 字元"/>
    <w:basedOn w:val="a0"/>
    <w:link w:val="a5"/>
    <w:uiPriority w:val="99"/>
    <w:rsid w:val="00FA0627"/>
    <w:rPr>
      <w:sz w:val="20"/>
      <w:szCs w:val="20"/>
    </w:rPr>
  </w:style>
  <w:style w:type="table" w:styleId="a7">
    <w:name w:val="Table Grid"/>
    <w:basedOn w:val="a1"/>
    <w:uiPriority w:val="59"/>
    <w:rsid w:val="00FA0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D7030"/>
    <w:pPr>
      <w:widowControl/>
      <w:spacing w:before="100" w:beforeAutospacing="1" w:after="100" w:afterAutospacing="1"/>
    </w:pPr>
    <w:rPr>
      <w:rFonts w:ascii="新細明體" w:eastAsia="新細明體" w:hAnsi="新細明體" w:cs="新細明體"/>
      <w:kern w:val="0"/>
      <w:szCs w:val="24"/>
    </w:rPr>
  </w:style>
  <w:style w:type="character" w:styleId="a8">
    <w:name w:val="Strong"/>
    <w:basedOn w:val="a0"/>
    <w:uiPriority w:val="22"/>
    <w:qFormat/>
    <w:rsid w:val="003077CB"/>
    <w:rPr>
      <w:b/>
      <w:bCs/>
    </w:rPr>
  </w:style>
  <w:style w:type="character" w:styleId="a9">
    <w:name w:val="annotation reference"/>
    <w:basedOn w:val="a0"/>
    <w:uiPriority w:val="99"/>
    <w:semiHidden/>
    <w:unhideWhenUsed/>
    <w:rsid w:val="00A001F2"/>
    <w:rPr>
      <w:sz w:val="18"/>
      <w:szCs w:val="18"/>
    </w:rPr>
  </w:style>
  <w:style w:type="paragraph" w:styleId="aa">
    <w:name w:val="annotation text"/>
    <w:basedOn w:val="a"/>
    <w:link w:val="ab"/>
    <w:uiPriority w:val="99"/>
    <w:semiHidden/>
    <w:unhideWhenUsed/>
    <w:rsid w:val="00A001F2"/>
  </w:style>
  <w:style w:type="character" w:customStyle="1" w:styleId="ab">
    <w:name w:val="註解文字 字元"/>
    <w:basedOn w:val="a0"/>
    <w:link w:val="aa"/>
    <w:uiPriority w:val="99"/>
    <w:semiHidden/>
    <w:rsid w:val="00A001F2"/>
    <w:rPr>
      <w:rFonts w:ascii="Times New Roman" w:eastAsia="華康仿宋體W6" w:hAnsi="Times New Roman"/>
    </w:rPr>
  </w:style>
  <w:style w:type="paragraph" w:styleId="ac">
    <w:name w:val="annotation subject"/>
    <w:basedOn w:val="aa"/>
    <w:next w:val="aa"/>
    <w:link w:val="ad"/>
    <w:uiPriority w:val="99"/>
    <w:semiHidden/>
    <w:unhideWhenUsed/>
    <w:rsid w:val="00A001F2"/>
    <w:rPr>
      <w:b/>
      <w:bCs/>
    </w:rPr>
  </w:style>
  <w:style w:type="character" w:customStyle="1" w:styleId="ad">
    <w:name w:val="註解主旨 字元"/>
    <w:basedOn w:val="ab"/>
    <w:link w:val="ac"/>
    <w:uiPriority w:val="99"/>
    <w:semiHidden/>
    <w:rsid w:val="00A001F2"/>
    <w:rPr>
      <w:rFonts w:ascii="Times New Roman" w:eastAsia="華康仿宋體W6" w:hAnsi="Times New Roman"/>
      <w:b/>
      <w:bCs/>
    </w:rPr>
  </w:style>
  <w:style w:type="paragraph" w:styleId="ae">
    <w:name w:val="Balloon Text"/>
    <w:basedOn w:val="a"/>
    <w:link w:val="af"/>
    <w:uiPriority w:val="99"/>
    <w:semiHidden/>
    <w:unhideWhenUsed/>
    <w:rsid w:val="00A001F2"/>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A001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663">
      <w:bodyDiv w:val="1"/>
      <w:marLeft w:val="0"/>
      <w:marRight w:val="0"/>
      <w:marTop w:val="0"/>
      <w:marBottom w:val="0"/>
      <w:divBdr>
        <w:top w:val="none" w:sz="0" w:space="0" w:color="auto"/>
        <w:left w:val="none" w:sz="0" w:space="0" w:color="auto"/>
        <w:bottom w:val="none" w:sz="0" w:space="0" w:color="auto"/>
        <w:right w:val="none" w:sz="0" w:space="0" w:color="auto"/>
      </w:divBdr>
    </w:div>
    <w:div w:id="1033731590">
      <w:bodyDiv w:val="1"/>
      <w:marLeft w:val="0"/>
      <w:marRight w:val="0"/>
      <w:marTop w:val="0"/>
      <w:marBottom w:val="0"/>
      <w:divBdr>
        <w:top w:val="none" w:sz="0" w:space="0" w:color="auto"/>
        <w:left w:val="none" w:sz="0" w:space="0" w:color="auto"/>
        <w:bottom w:val="none" w:sz="0" w:space="0" w:color="auto"/>
        <w:right w:val="none" w:sz="0" w:space="0" w:color="auto"/>
      </w:divBdr>
    </w:div>
    <w:div w:id="1038237746">
      <w:bodyDiv w:val="1"/>
      <w:marLeft w:val="0"/>
      <w:marRight w:val="0"/>
      <w:marTop w:val="0"/>
      <w:marBottom w:val="0"/>
      <w:divBdr>
        <w:top w:val="none" w:sz="0" w:space="0" w:color="auto"/>
        <w:left w:val="none" w:sz="0" w:space="0" w:color="auto"/>
        <w:bottom w:val="none" w:sz="0" w:space="0" w:color="auto"/>
        <w:right w:val="none" w:sz="0" w:space="0" w:color="auto"/>
      </w:divBdr>
    </w:div>
    <w:div w:id="1121221595">
      <w:bodyDiv w:val="1"/>
      <w:marLeft w:val="0"/>
      <w:marRight w:val="0"/>
      <w:marTop w:val="0"/>
      <w:marBottom w:val="0"/>
      <w:divBdr>
        <w:top w:val="none" w:sz="0" w:space="0" w:color="auto"/>
        <w:left w:val="none" w:sz="0" w:space="0" w:color="auto"/>
        <w:bottom w:val="none" w:sz="0" w:space="0" w:color="auto"/>
        <w:right w:val="none" w:sz="0" w:space="0" w:color="auto"/>
      </w:divBdr>
    </w:div>
    <w:div w:id="184847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王毛寶</dc:creator>
  <cp:lastModifiedBy>王毛寶</cp:lastModifiedBy>
  <cp:revision>5</cp:revision>
  <cp:lastPrinted>2014-07-16T04:14:00Z</cp:lastPrinted>
  <dcterms:created xsi:type="dcterms:W3CDTF">2014-07-16T01:13:00Z</dcterms:created>
  <dcterms:modified xsi:type="dcterms:W3CDTF">2014-07-16T04:16:00Z</dcterms:modified>
</cp:coreProperties>
</file>